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8" w:rsidRDefault="00B32A68" w:rsidP="00B32A68">
      <w:pPr>
        <w:tabs>
          <w:tab w:val="left" w:pos="7908"/>
        </w:tabs>
        <w:ind w:firstLineChars="201" w:firstLine="563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D34781">
        <w:rPr>
          <w:rFonts w:hint="eastAsia"/>
          <w:b/>
          <w:sz w:val="28"/>
          <w:szCs w:val="28"/>
        </w:rPr>
        <w:t>政府采购预算编报与执行流程指南</w:t>
      </w:r>
      <w:r>
        <w:rPr>
          <w:rFonts w:hint="eastAsia"/>
          <w:b/>
          <w:sz w:val="28"/>
          <w:szCs w:val="28"/>
        </w:rPr>
        <w:t>（设备类）</w:t>
      </w:r>
      <w:r>
        <w:rPr>
          <w:b/>
          <w:sz w:val="28"/>
          <w:szCs w:val="28"/>
        </w:rPr>
        <w:tab/>
      </w:r>
    </w:p>
    <w:tbl>
      <w:tblPr>
        <w:tblStyle w:val="a3"/>
        <w:tblW w:w="8363" w:type="dxa"/>
        <w:tblInd w:w="534" w:type="dxa"/>
        <w:tblLook w:val="04A0"/>
      </w:tblPr>
      <w:tblGrid>
        <w:gridCol w:w="8363"/>
      </w:tblGrid>
      <w:tr w:rsidR="00B32A68" w:rsidRPr="009E55FA" w:rsidTr="00396E12">
        <w:tc>
          <w:tcPr>
            <w:tcW w:w="8363" w:type="dxa"/>
          </w:tcPr>
          <w:p w:rsidR="00B32A68" w:rsidRPr="00940D13" w:rsidRDefault="00B32A68" w:rsidP="0009184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40D13">
              <w:rPr>
                <w:rFonts w:hint="eastAsia"/>
                <w:b/>
                <w:sz w:val="24"/>
                <w:szCs w:val="24"/>
              </w:rPr>
              <w:t>6</w:t>
            </w:r>
            <w:r w:rsidRPr="00940D13">
              <w:rPr>
                <w:rFonts w:hint="eastAsia"/>
                <w:b/>
                <w:sz w:val="24"/>
                <w:szCs w:val="24"/>
              </w:rPr>
              <w:t>月初</w:t>
            </w:r>
            <w:r w:rsidRPr="00940D13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940D13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="00E13A0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940D13">
              <w:rPr>
                <w:rFonts w:hint="eastAsia"/>
                <w:b/>
                <w:sz w:val="24"/>
                <w:szCs w:val="24"/>
              </w:rPr>
              <w:t>学院（部门）</w:t>
            </w:r>
          </w:p>
          <w:p w:rsidR="00B32A68" w:rsidRPr="006837DC" w:rsidRDefault="00B32A68" w:rsidP="00091841">
            <w:pPr>
              <w:rPr>
                <w:szCs w:val="21"/>
              </w:rPr>
            </w:pPr>
            <w:r w:rsidRPr="008F101A">
              <w:rPr>
                <w:b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1.3pt;margin-top:46.3pt;width:0;height:12pt;z-index:251660288" o:connectortype="straight">
                  <v:stroke endarrow="block"/>
                </v:shape>
              </w:pict>
            </w:r>
            <w:r w:rsidRPr="006837DC">
              <w:rPr>
                <w:rFonts w:hint="eastAsia"/>
                <w:szCs w:val="21"/>
              </w:rPr>
              <w:t>（召开年度预算工作会，讨论研究下一年度项目安排计划与预算工作，分类填报下年度教学、科研、办公等《仪器设备</w:t>
            </w:r>
            <w:r>
              <w:rPr>
                <w:rFonts w:hint="eastAsia"/>
                <w:szCs w:val="21"/>
              </w:rPr>
              <w:t>家具</w:t>
            </w:r>
            <w:r w:rsidRPr="006837DC">
              <w:rPr>
                <w:rFonts w:hint="eastAsia"/>
                <w:szCs w:val="21"/>
              </w:rPr>
              <w:t>购置年度预算申报表》，</w:t>
            </w:r>
            <w:r>
              <w:rPr>
                <w:rFonts w:hint="eastAsia"/>
                <w:szCs w:val="21"/>
              </w:rPr>
              <w:t>购置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万元以上大型仪器设备的须附《大型仪器设备购置可行性论证与审批报告》</w:t>
            </w:r>
            <w:r w:rsidRPr="006837DC">
              <w:rPr>
                <w:rFonts w:asciiTheme="minorEastAsia" w:hAnsiTheme="minorEastAsia" w:hint="eastAsia"/>
                <w:szCs w:val="21"/>
              </w:rPr>
              <w:t>→</w:t>
            </w:r>
            <w:r w:rsidRPr="006837DC">
              <w:rPr>
                <w:rFonts w:hint="eastAsia"/>
                <w:szCs w:val="21"/>
              </w:rPr>
              <w:t>送交</w:t>
            </w:r>
            <w:r w:rsidRPr="006837DC">
              <w:rPr>
                <w:rFonts w:hint="eastAsia"/>
                <w:b/>
                <w:szCs w:val="21"/>
              </w:rPr>
              <w:t>资产管理处</w:t>
            </w:r>
            <w:r w:rsidRPr="006837DC">
              <w:rPr>
                <w:rFonts w:hint="eastAsia"/>
                <w:szCs w:val="21"/>
              </w:rPr>
              <w:t>）</w:t>
            </w:r>
          </w:p>
        </w:tc>
      </w:tr>
    </w:tbl>
    <w:p w:rsidR="00B32A68" w:rsidRPr="00D34781" w:rsidRDefault="00B32A68" w:rsidP="00B32A68">
      <w:pPr>
        <w:ind w:firstLineChars="201" w:firstLine="563"/>
        <w:rPr>
          <w:b/>
          <w:sz w:val="28"/>
          <w:szCs w:val="28"/>
        </w:rPr>
      </w:pPr>
      <w:r w:rsidRPr="008F101A">
        <w:rPr>
          <w:noProof/>
          <w:sz w:val="28"/>
          <w:szCs w:val="28"/>
        </w:rPr>
        <w:pict>
          <v:rect id="_x0000_s1027" style="position:absolute;left:0;text-align:left;margin-left:22.8pt;margin-top:11pt;width:417.6pt;height:68.4pt;z-index:251661312;mso-position-horizontal-relative:text;mso-position-vertical-relative:text">
            <v:textbox style="mso-next-textbox:#_x0000_s1027">
              <w:txbxContent>
                <w:p w:rsidR="00B32A68" w:rsidRPr="00940D13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0D13">
                    <w:rPr>
                      <w:rFonts w:hint="eastAsia"/>
                      <w:b/>
                      <w:sz w:val="24"/>
                      <w:szCs w:val="24"/>
                    </w:rPr>
                    <w:t>6</w:t>
                  </w:r>
                  <w:r w:rsidRPr="00940D13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中旬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    </w:t>
                  </w:r>
                  <w:r w:rsidRPr="00940D13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</w:t>
                  </w:r>
                  <w:r w:rsidRPr="00940D13">
                    <w:rPr>
                      <w:rFonts w:hint="eastAsia"/>
                      <w:b/>
                      <w:sz w:val="24"/>
                      <w:szCs w:val="24"/>
                    </w:rPr>
                    <w:t>资产管理处</w:t>
                  </w:r>
                </w:p>
                <w:p w:rsidR="00B32A68" w:rsidRPr="006837DC" w:rsidRDefault="00B32A68" w:rsidP="00B32A68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（组织计划财务处、总务处、图书信息中心等对各学院（部门）上报的申报计划进行资金、场所、大功率电器</w:t>
                  </w:r>
                  <w:r w:rsidRPr="006837DC">
                    <w:rPr>
                      <w:rFonts w:hint="eastAsia"/>
                      <w:szCs w:val="21"/>
                    </w:rPr>
                    <w:t>、大仪共享设备、服务器等进行审核并分类汇总，提出年度资产配置数量</w:t>
                  </w:r>
                  <w:r>
                    <w:rPr>
                      <w:rFonts w:hint="eastAsia"/>
                      <w:szCs w:val="21"/>
                    </w:rPr>
                    <w:t>与价值</w:t>
                  </w:r>
                  <w:r w:rsidRPr="006837DC">
                    <w:rPr>
                      <w:rFonts w:hint="eastAsia"/>
                      <w:szCs w:val="21"/>
                    </w:rPr>
                    <w:t>预算）</w:t>
                  </w:r>
                </w:p>
              </w:txbxContent>
            </v:textbox>
          </v:rect>
        </w:pict>
      </w:r>
    </w:p>
    <w:p w:rsidR="00B32A68" w:rsidRDefault="00B32A68" w:rsidP="00B32A68">
      <w:pPr>
        <w:ind w:firstLineChars="201" w:firstLine="563"/>
        <w:rPr>
          <w:sz w:val="28"/>
          <w:szCs w:val="28"/>
        </w:rPr>
      </w:pPr>
    </w:p>
    <w:p w:rsidR="00B32A68" w:rsidRDefault="00B32A68" w:rsidP="00B32A68">
      <w:pPr>
        <w:ind w:firstLineChars="201" w:firstLine="56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22.8pt;margin-top:30.8pt;width:417.6pt;height:52.8pt;z-index:251662336">
            <v:textbox style="mso-next-textbox:#_x0000_s1028">
              <w:txbxContent>
                <w:p w:rsidR="00B32A68" w:rsidRPr="002B3BF1" w:rsidRDefault="00B32A68" w:rsidP="00B32A6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6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月下旬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 xml:space="preserve">    </w:t>
                  </w:r>
                  <w:r w:rsidRPr="002B3BF1">
                    <w:rPr>
                      <w:rFonts w:hint="eastAsia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计划财务处</w:t>
                  </w:r>
                </w:p>
                <w:p w:rsidR="00B32A68" w:rsidRPr="002B3BF1" w:rsidRDefault="00B32A68" w:rsidP="00B32A68">
                  <w:pPr>
                    <w:rPr>
                      <w:sz w:val="24"/>
                      <w:szCs w:val="24"/>
                    </w:rPr>
                  </w:pPr>
                  <w:r w:rsidRPr="002B3BF1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6837DC">
                    <w:rPr>
                      <w:rFonts w:hint="eastAsia"/>
                      <w:szCs w:val="21"/>
                    </w:rPr>
                    <w:t>根据资产</w:t>
                  </w:r>
                  <w:r>
                    <w:rPr>
                      <w:rFonts w:hint="eastAsia"/>
                      <w:szCs w:val="21"/>
                    </w:rPr>
                    <w:t>管理处</w:t>
                  </w:r>
                  <w:r w:rsidRPr="006837DC">
                    <w:rPr>
                      <w:rFonts w:hint="eastAsia"/>
                      <w:szCs w:val="21"/>
                    </w:rPr>
                    <w:t>汇总情况提出经费预算意见提交学校校长办公会议审定，同时对各</w:t>
                  </w:r>
                  <w:proofErr w:type="gramStart"/>
                  <w:r w:rsidRPr="006837DC">
                    <w:rPr>
                      <w:rFonts w:hint="eastAsia"/>
                      <w:szCs w:val="21"/>
                    </w:rPr>
                    <w:t>类财政</w:t>
                  </w:r>
                  <w:proofErr w:type="gramEnd"/>
                  <w:r w:rsidRPr="006837DC">
                    <w:rPr>
                      <w:rFonts w:hint="eastAsia"/>
                      <w:szCs w:val="21"/>
                    </w:rPr>
                    <w:t>专项的立项预算进行补充，并将最终审定结果反馈资产管理处）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29.2pt;margin-top:17pt;width:0;height:13.8pt;z-index:251663360" o:connectortype="straight">
            <v:stroke endarrow="block"/>
          </v:shape>
        </w:pict>
      </w:r>
    </w:p>
    <w:p w:rsidR="00B32A68" w:rsidRDefault="00B32A68" w:rsidP="00B32A68">
      <w:pPr>
        <w:tabs>
          <w:tab w:val="left" w:pos="1560"/>
        </w:tabs>
        <w:ind w:firstLineChars="201" w:firstLine="563"/>
        <w:rPr>
          <w:sz w:val="28"/>
          <w:szCs w:val="28"/>
        </w:rPr>
      </w:pPr>
    </w:p>
    <w:p w:rsidR="00B32A68" w:rsidRDefault="00B32A68" w:rsidP="00B32A68">
      <w:pPr>
        <w:ind w:firstLineChars="201" w:firstLine="56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29.2pt;margin-top:23pt;width:0;height:13.2pt;z-index:251664384" o:connectortype="straight">
            <v:stroke endarrow="block"/>
          </v:shape>
        </w:pict>
      </w:r>
    </w:p>
    <w:p w:rsidR="00B32A68" w:rsidRDefault="00B32A68" w:rsidP="00B32A68">
      <w:pPr>
        <w:ind w:firstLineChars="201" w:firstLine="56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7pt;margin-top:5pt;width:413.4pt;height:54pt;z-index:251665408">
            <v:textbox style="mso-next-textbox:#_x0000_s1031">
              <w:txbxContent>
                <w:p w:rsidR="00B32A68" w:rsidRPr="002B3BF1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                </w:t>
                  </w:r>
                  <w:r w:rsidRPr="007A4AE5"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计划财务处</w:t>
                  </w:r>
                </w:p>
                <w:p w:rsidR="00B32A68" w:rsidRPr="00C64CA4" w:rsidRDefault="00B32A68" w:rsidP="00B32A68">
                  <w:r w:rsidRPr="006837DC">
                    <w:rPr>
                      <w:rFonts w:hint="eastAsia"/>
                      <w:szCs w:val="21"/>
                    </w:rPr>
                    <w:t>（</w:t>
                  </w:r>
                  <w:r w:rsidRPr="006837DC">
                    <w:rPr>
                      <w:rFonts w:hint="eastAsia"/>
                      <w:b/>
                      <w:szCs w:val="21"/>
                    </w:rPr>
                    <w:t>9</w:t>
                  </w:r>
                  <w:r w:rsidRPr="006837DC">
                    <w:rPr>
                      <w:rFonts w:hint="eastAsia"/>
                      <w:b/>
                      <w:szCs w:val="21"/>
                    </w:rPr>
                    <w:t>月初</w:t>
                  </w:r>
                  <w:r w:rsidRPr="006837DC">
                    <w:rPr>
                      <w:rFonts w:hint="eastAsia"/>
                      <w:szCs w:val="21"/>
                    </w:rPr>
                    <w:t>，完成省定“一上”。</w:t>
                  </w:r>
                  <w:r w:rsidRPr="006837DC">
                    <w:rPr>
                      <w:rFonts w:hint="eastAsia"/>
                      <w:b/>
                      <w:szCs w:val="21"/>
                    </w:rPr>
                    <w:t>11</w:t>
                  </w:r>
                  <w:r w:rsidRPr="006837DC">
                    <w:rPr>
                      <w:rFonts w:hint="eastAsia"/>
                      <w:b/>
                      <w:szCs w:val="21"/>
                    </w:rPr>
                    <w:t>月初</w:t>
                  </w:r>
                  <w:r w:rsidRPr="006837DC">
                    <w:rPr>
                      <w:rFonts w:hint="eastAsia"/>
                      <w:szCs w:val="21"/>
                    </w:rPr>
                    <w:t>，完成省定“二上”。期间，可对部分预算进行微调，但“二上”以后，不可修改，等待省厅批复，一般在每年</w:t>
                  </w:r>
                  <w:r w:rsidRPr="006837DC">
                    <w:rPr>
                      <w:rFonts w:hint="eastAsia"/>
                      <w:szCs w:val="21"/>
                    </w:rPr>
                    <w:t>3</w:t>
                  </w:r>
                  <w:r w:rsidRPr="006837DC">
                    <w:rPr>
                      <w:rFonts w:hint="eastAsia"/>
                      <w:szCs w:val="21"/>
                    </w:rPr>
                    <w:t>月底批准预算</w:t>
                  </w:r>
                  <w:r w:rsidRPr="002B3BF1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</w:p>
    <w:p w:rsidR="00B32A68" w:rsidRDefault="00B32A68" w:rsidP="00B32A68">
      <w:pPr>
        <w:ind w:firstLineChars="201" w:firstLine="56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31pt;margin-top:27.8pt;width:0;height:15pt;z-index:251666432" o:connectortype="straight">
            <v:stroke endarrow="block"/>
          </v:shape>
        </w:pict>
      </w:r>
    </w:p>
    <w:p w:rsidR="00B32A68" w:rsidRDefault="00B32A68" w:rsidP="00B32A68">
      <w:pPr>
        <w:ind w:firstLineChars="201" w:firstLine="484"/>
        <w:rPr>
          <w:sz w:val="28"/>
          <w:szCs w:val="28"/>
        </w:rPr>
      </w:pPr>
      <w:r w:rsidRPr="008F101A">
        <w:rPr>
          <w:b/>
          <w:noProof/>
          <w:sz w:val="24"/>
          <w:szCs w:val="24"/>
        </w:rPr>
        <w:pict>
          <v:rect id="_x0000_s1033" style="position:absolute;left:0;text-align:left;margin-left:27pt;margin-top:11.6pt;width:409.2pt;height:52.8pt;z-index:251667456">
            <v:textbox style="mso-next-textbox:#_x0000_s1033">
              <w:txbxContent>
                <w:p w:rsidR="00B32A68" w:rsidRPr="002B3BF1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资产管理处</w:t>
                  </w:r>
                </w:p>
                <w:p w:rsidR="00B32A68" w:rsidRPr="006837DC" w:rsidRDefault="00B32A68" w:rsidP="00B32A68">
                  <w:pPr>
                    <w:rPr>
                      <w:szCs w:val="21"/>
                    </w:rPr>
                  </w:pPr>
                  <w:r w:rsidRPr="006837DC">
                    <w:rPr>
                      <w:rFonts w:hint="eastAsia"/>
                      <w:szCs w:val="21"/>
                    </w:rPr>
                    <w:t>（根</w:t>
                  </w:r>
                  <w:r>
                    <w:rPr>
                      <w:rFonts w:hint="eastAsia"/>
                      <w:szCs w:val="21"/>
                    </w:rPr>
                    <w:t>据计划财务处通知，将省厅批复采购预算予以公布，通知学院（部门）</w:t>
                  </w:r>
                  <w:r w:rsidRPr="006837DC">
                    <w:rPr>
                      <w:rFonts w:hint="eastAsia"/>
                      <w:szCs w:val="21"/>
                    </w:rPr>
                    <w:t>申请执行采购）</w:t>
                  </w:r>
                </w:p>
              </w:txbxContent>
            </v:textbox>
          </v:rect>
        </w:pict>
      </w:r>
    </w:p>
    <w:p w:rsidR="00B32A68" w:rsidRDefault="00B32A68" w:rsidP="00B32A68">
      <w:pPr>
        <w:ind w:firstLineChars="201" w:firstLine="563"/>
        <w:rPr>
          <w:sz w:val="28"/>
          <w:szCs w:val="28"/>
        </w:rPr>
      </w:pPr>
    </w:p>
    <w:p w:rsidR="00B32A68" w:rsidRDefault="00B32A68" w:rsidP="00B32A68">
      <w:pPr>
        <w:ind w:firstLineChars="800" w:firstLine="2240"/>
        <w:rPr>
          <w:b/>
          <w:sz w:val="24"/>
          <w:szCs w:val="24"/>
        </w:rPr>
      </w:pPr>
      <w:r w:rsidRPr="008F101A">
        <w:rPr>
          <w:noProof/>
          <w:sz w:val="28"/>
          <w:szCs w:val="28"/>
        </w:rPr>
        <w:pict>
          <v:shape id="_x0000_s1034" type="#_x0000_t32" style="position:absolute;left:0;text-align:left;margin-left:234.6pt;margin-top:2pt;width:0;height:15pt;z-index:251668480" o:connectortype="straight">
            <v:stroke endarrow="block"/>
          </v:shape>
        </w:pict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5" style="position:absolute;left:0;text-align:left;margin-left:30.6pt;margin-top:1.4pt;width:405.6pt;height:70.2pt;z-index:251669504">
            <v:textbox style="mso-next-textbox:#_x0000_s1035">
              <w:txbxContent>
                <w:p w:rsidR="00B32A68" w:rsidRPr="002B3BF1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 w:rsidRPr="006844EF">
                    <w:rPr>
                      <w:rFonts w:hint="eastAsia"/>
                      <w:b/>
                    </w:rPr>
                    <w:t xml:space="preserve"> 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>每月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>10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>日前</w:t>
                  </w:r>
                  <w:r w:rsidRPr="00A446CC">
                    <w:rPr>
                      <w:rFonts w:hint="eastAsia"/>
                      <w:szCs w:val="21"/>
                    </w:rPr>
                    <w:t xml:space="preserve">   </w:t>
                  </w:r>
                  <w:r w:rsidRPr="002B3BF1">
                    <w:rPr>
                      <w:rFonts w:hint="eastAsia"/>
                      <w:sz w:val="24"/>
                      <w:szCs w:val="24"/>
                    </w:rPr>
                    <w:t xml:space="preserve">      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学院（部门）</w:t>
                  </w:r>
                </w:p>
                <w:p w:rsidR="00B32A68" w:rsidRPr="00075FCF" w:rsidRDefault="00B32A68" w:rsidP="00B32A68">
                  <w:pPr>
                    <w:rPr>
                      <w:szCs w:val="21"/>
                    </w:rPr>
                  </w:pPr>
                  <w:r w:rsidRPr="00075FCF">
                    <w:rPr>
                      <w:rFonts w:hint="eastAsia"/>
                      <w:szCs w:val="21"/>
                    </w:rPr>
                    <w:t>（项目申购人根据预算批准数额及项目建设进度，到资产管理处网站—“资料下载”中按类下载填写《物资采购申请表》，经项目负责人、使用管理部门签署意见后送交电子与纸质申请一式两份→资产管理处）</w:t>
                  </w:r>
                </w:p>
              </w:txbxContent>
            </v:textbox>
          </v:rect>
        </w:pict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tabs>
          <w:tab w:val="center" w:pos="5585"/>
        </w:tabs>
        <w:ind w:firstLineChars="800" w:firstLine="2240"/>
        <w:rPr>
          <w:b/>
          <w:sz w:val="24"/>
          <w:szCs w:val="24"/>
        </w:rPr>
      </w:pPr>
      <w:r w:rsidRPr="008F101A">
        <w:rPr>
          <w:noProof/>
          <w:sz w:val="28"/>
          <w:szCs w:val="28"/>
        </w:rPr>
        <w:pict>
          <v:shape id="_x0000_s1038" type="#_x0000_t32" style="position:absolute;left:0;text-align:left;margin-left:237.6pt;margin-top:9.2pt;width:0;height:13.8pt;z-index:251672576" o:connectortype="straight">
            <v:stroke endarrow="block"/>
          </v:shape>
        </w:pict>
      </w:r>
      <w:r>
        <w:rPr>
          <w:b/>
          <w:sz w:val="24"/>
          <w:szCs w:val="24"/>
        </w:rPr>
        <w:tab/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7" style="position:absolute;left:0;text-align:left;margin-left:35.4pt;margin-top:7.4pt;width:400.8pt;height:51.6pt;z-index:251671552">
            <v:textbox style="mso-next-textbox:#_x0000_s1037">
              <w:txbxContent>
                <w:p w:rsidR="00B32A68" w:rsidRPr="002B3BF1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 w:rsidRPr="00A446CC">
                    <w:rPr>
                      <w:rFonts w:hint="eastAsia"/>
                      <w:b/>
                      <w:szCs w:val="21"/>
                    </w:rPr>
                    <w:t>每月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>15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>日前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A446CC">
                    <w:rPr>
                      <w:rFonts w:hint="eastAsia"/>
                      <w:szCs w:val="21"/>
                    </w:rPr>
                    <w:t xml:space="preserve"> </w:t>
                  </w:r>
                  <w:r w:rsidRPr="002B3BF1">
                    <w:rPr>
                      <w:rFonts w:hint="eastAsia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资产管理处</w:t>
                  </w:r>
                </w:p>
                <w:p w:rsidR="00B32A68" w:rsidRPr="00075FCF" w:rsidRDefault="00B32A68" w:rsidP="00B32A68">
                  <w:pPr>
                    <w:rPr>
                      <w:szCs w:val="21"/>
                    </w:rPr>
                  </w:pPr>
                  <w:r w:rsidRPr="00075FCF">
                    <w:rPr>
                      <w:rFonts w:hint="eastAsia"/>
                      <w:szCs w:val="21"/>
                    </w:rPr>
                    <w:t>（审核、汇总采购申请，分类编报月度《省级单位政府采购预算执行建议书》提交计划财务处上报省局审定并确定申请采购方式，如有进口设备须附论证材料）</w:t>
                  </w:r>
                </w:p>
              </w:txbxContent>
            </v:textbox>
          </v:rect>
        </w:pict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2240"/>
        <w:rPr>
          <w:b/>
          <w:sz w:val="24"/>
          <w:szCs w:val="24"/>
        </w:rPr>
      </w:pPr>
      <w:r w:rsidRPr="008F101A">
        <w:rPr>
          <w:noProof/>
          <w:sz w:val="28"/>
          <w:szCs w:val="28"/>
        </w:rPr>
        <w:pict>
          <v:shape id="_x0000_s1036" type="#_x0000_t32" style="position:absolute;left:0;text-align:left;margin-left:237.6pt;margin-top:12.2pt;width:0;height:14.4pt;z-index:251670528" o:connectortype="straight">
            <v:stroke endarrow="block"/>
          </v:shape>
        </w:pict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9" style="position:absolute;left:0;text-align:left;margin-left:35.4pt;margin-top:11pt;width:400.8pt;height:52.8pt;z-index:251673600">
            <v:textbox style="mso-next-textbox:#_x0000_s1039">
              <w:txbxContent>
                <w:p w:rsidR="00B32A68" w:rsidRPr="002B3BF1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 w:rsidRPr="00A446CC">
                    <w:rPr>
                      <w:rFonts w:hint="eastAsia"/>
                      <w:b/>
                      <w:szCs w:val="21"/>
                    </w:rPr>
                    <w:t>每月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>30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>日前</w:t>
                  </w:r>
                  <w:r w:rsidRPr="00A446CC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r w:rsidRPr="002B3BF1">
                    <w:rPr>
                      <w:rFonts w:hint="eastAsia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2B3BF1">
                    <w:rPr>
                      <w:rFonts w:hint="eastAsia"/>
                      <w:b/>
                      <w:sz w:val="24"/>
                      <w:szCs w:val="24"/>
                    </w:rPr>
                    <w:t>资产管理处</w:t>
                  </w:r>
                </w:p>
                <w:p w:rsidR="00B32A68" w:rsidRPr="00075FCF" w:rsidRDefault="00B32A68" w:rsidP="00B32A68">
                  <w:pPr>
                    <w:rPr>
                      <w:szCs w:val="21"/>
                    </w:rPr>
                  </w:pPr>
                  <w:r w:rsidRPr="00075FCF">
                    <w:rPr>
                      <w:rFonts w:hint="eastAsia"/>
                      <w:szCs w:val="21"/>
                    </w:rPr>
                    <w:t>（根据上级批复，下达月采购任务与采购方式，提交相应采购部门采购并对采购资金使用请</w:t>
                  </w:r>
                  <w:proofErr w:type="gramStart"/>
                  <w:r w:rsidRPr="00075FCF">
                    <w:rPr>
                      <w:rFonts w:hint="eastAsia"/>
                      <w:szCs w:val="21"/>
                    </w:rPr>
                    <w:t>况</w:t>
                  </w:r>
                  <w:proofErr w:type="gramEnd"/>
                  <w:r w:rsidRPr="00075FCF">
                    <w:rPr>
                      <w:rFonts w:hint="eastAsia"/>
                      <w:szCs w:val="21"/>
                    </w:rPr>
                    <w:t>进行汇总）</w:t>
                  </w:r>
                </w:p>
              </w:txbxContent>
            </v:textbox>
          </v:rect>
        </w:pict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2240"/>
        <w:rPr>
          <w:b/>
          <w:sz w:val="24"/>
          <w:szCs w:val="24"/>
        </w:rPr>
      </w:pPr>
      <w:r w:rsidRPr="008F101A">
        <w:rPr>
          <w:noProof/>
          <w:sz w:val="28"/>
          <w:szCs w:val="28"/>
        </w:rPr>
        <w:pict>
          <v:shape id="_x0000_s1040" type="#_x0000_t32" style="position:absolute;left:0;text-align:left;margin-left:237.6pt;margin-top:4.4pt;width:0;height:12.6pt;z-index:251674624" o:connectortype="straight">
            <v:stroke endarrow="block"/>
          </v:shape>
        </w:pict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1" style="position:absolute;left:0;text-align:left;margin-left:35.4pt;margin-top:1.4pt;width:400.8pt;height:36.6pt;z-index:251675648">
            <v:textbox style="mso-next-textbox:#_x0000_s1041">
              <w:txbxContent>
                <w:p w:rsidR="00B32A68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                              </w:t>
                  </w:r>
                  <w:r w:rsidRPr="006837DC">
                    <w:rPr>
                      <w:rFonts w:hint="eastAsia"/>
                      <w:b/>
                      <w:sz w:val="24"/>
                      <w:szCs w:val="24"/>
                    </w:rPr>
                    <w:t>采购部门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采购</w:t>
                  </w:r>
                  <w:r w:rsidRPr="006837DC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B32A68" w:rsidRPr="007211F6" w:rsidRDefault="00B32A68" w:rsidP="00B32A68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    </w:t>
                  </w:r>
                  <w:r w:rsidRPr="007211F6">
                    <w:rPr>
                      <w:rFonts w:hint="eastAsia"/>
                      <w:szCs w:val="21"/>
                    </w:rPr>
                    <w:t>（</w:t>
                  </w:r>
                  <w:r w:rsidRPr="007211F6">
                    <w:rPr>
                      <w:rFonts w:hint="eastAsia"/>
                      <w:szCs w:val="21"/>
                    </w:rPr>
                    <w:t>进入采购流程管理，实行招标采购、集中竞价、小额</w:t>
                  </w:r>
                  <w:proofErr w:type="gramStart"/>
                  <w:r w:rsidRPr="007211F6">
                    <w:rPr>
                      <w:rFonts w:hint="eastAsia"/>
                      <w:szCs w:val="21"/>
                    </w:rPr>
                    <w:t>自行等</w:t>
                  </w:r>
                  <w:proofErr w:type="gramEnd"/>
                  <w:r w:rsidRPr="007211F6">
                    <w:rPr>
                      <w:rFonts w:hint="eastAsia"/>
                      <w:szCs w:val="21"/>
                    </w:rPr>
                    <w:t>采购）</w:t>
                  </w:r>
                </w:p>
                <w:p w:rsidR="00B32A68" w:rsidRPr="006837DC" w:rsidRDefault="00B32A68" w:rsidP="00B32A68">
                  <w:pPr>
                    <w:rPr>
                      <w:b/>
                      <w:sz w:val="24"/>
                      <w:szCs w:val="24"/>
                    </w:rPr>
                  </w:pPr>
                  <w:r w:rsidRPr="006837DC">
                    <w:rPr>
                      <w:rFonts w:hint="eastAsia"/>
                      <w:b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rect>
        </w:pict>
      </w: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B32A68" w:rsidRDefault="00B32A68" w:rsidP="00B32A68">
      <w:pPr>
        <w:ind w:firstLineChars="800" w:firstLine="1928"/>
        <w:rPr>
          <w:b/>
          <w:sz w:val="24"/>
          <w:szCs w:val="24"/>
        </w:rPr>
      </w:pPr>
    </w:p>
    <w:p w:rsidR="00C369B1" w:rsidRPr="00B32A68" w:rsidRDefault="00C369B1"/>
    <w:sectPr w:rsidR="00C369B1" w:rsidRPr="00B32A68" w:rsidSect="00C3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A68"/>
    <w:rsid w:val="00005CFC"/>
    <w:rsid w:val="00012E59"/>
    <w:rsid w:val="00032DE2"/>
    <w:rsid w:val="0009089C"/>
    <w:rsid w:val="00094302"/>
    <w:rsid w:val="000B1337"/>
    <w:rsid w:val="000B1EA4"/>
    <w:rsid w:val="000B3CDB"/>
    <w:rsid w:val="000D79E0"/>
    <w:rsid w:val="000E2BD5"/>
    <w:rsid w:val="000E3E50"/>
    <w:rsid w:val="000F78C1"/>
    <w:rsid w:val="001017FB"/>
    <w:rsid w:val="00102F74"/>
    <w:rsid w:val="001036F0"/>
    <w:rsid w:val="00125E7F"/>
    <w:rsid w:val="0018390A"/>
    <w:rsid w:val="0019210A"/>
    <w:rsid w:val="001923E3"/>
    <w:rsid w:val="001A61AB"/>
    <w:rsid w:val="001B3B12"/>
    <w:rsid w:val="001D5D51"/>
    <w:rsid w:val="001F4365"/>
    <w:rsid w:val="0021653E"/>
    <w:rsid w:val="002305E3"/>
    <w:rsid w:val="00232596"/>
    <w:rsid w:val="00252AFB"/>
    <w:rsid w:val="0025459C"/>
    <w:rsid w:val="00264C79"/>
    <w:rsid w:val="00277B59"/>
    <w:rsid w:val="002A2ACD"/>
    <w:rsid w:val="002A65A8"/>
    <w:rsid w:val="002E176D"/>
    <w:rsid w:val="002F2F4E"/>
    <w:rsid w:val="003135A9"/>
    <w:rsid w:val="003230D1"/>
    <w:rsid w:val="003237E3"/>
    <w:rsid w:val="003257AC"/>
    <w:rsid w:val="003547CA"/>
    <w:rsid w:val="00365CCE"/>
    <w:rsid w:val="00396E12"/>
    <w:rsid w:val="003A7DF0"/>
    <w:rsid w:val="003C142F"/>
    <w:rsid w:val="003C410E"/>
    <w:rsid w:val="003C43E7"/>
    <w:rsid w:val="003E2410"/>
    <w:rsid w:val="003E47B3"/>
    <w:rsid w:val="003F6D84"/>
    <w:rsid w:val="0040760A"/>
    <w:rsid w:val="00427DA0"/>
    <w:rsid w:val="00432A42"/>
    <w:rsid w:val="004713CB"/>
    <w:rsid w:val="00473362"/>
    <w:rsid w:val="004737FB"/>
    <w:rsid w:val="004769D6"/>
    <w:rsid w:val="00480E29"/>
    <w:rsid w:val="00484B2F"/>
    <w:rsid w:val="004941F1"/>
    <w:rsid w:val="004C35A1"/>
    <w:rsid w:val="004D6580"/>
    <w:rsid w:val="004F176E"/>
    <w:rsid w:val="004F3198"/>
    <w:rsid w:val="004F7971"/>
    <w:rsid w:val="0052638A"/>
    <w:rsid w:val="005279AC"/>
    <w:rsid w:val="00535413"/>
    <w:rsid w:val="0056775D"/>
    <w:rsid w:val="005728EE"/>
    <w:rsid w:val="005A3CA6"/>
    <w:rsid w:val="005B0650"/>
    <w:rsid w:val="005E1A0C"/>
    <w:rsid w:val="005F47FA"/>
    <w:rsid w:val="005F7A2A"/>
    <w:rsid w:val="00600880"/>
    <w:rsid w:val="00602C99"/>
    <w:rsid w:val="0061428F"/>
    <w:rsid w:val="00624CC9"/>
    <w:rsid w:val="006518D9"/>
    <w:rsid w:val="00654648"/>
    <w:rsid w:val="00670345"/>
    <w:rsid w:val="006750A7"/>
    <w:rsid w:val="00675551"/>
    <w:rsid w:val="006777AD"/>
    <w:rsid w:val="006844C0"/>
    <w:rsid w:val="006B4B69"/>
    <w:rsid w:val="006C5D7E"/>
    <w:rsid w:val="006E5358"/>
    <w:rsid w:val="006E6CFC"/>
    <w:rsid w:val="00710E2D"/>
    <w:rsid w:val="007175D8"/>
    <w:rsid w:val="00721589"/>
    <w:rsid w:val="0074033C"/>
    <w:rsid w:val="0075073E"/>
    <w:rsid w:val="0075096B"/>
    <w:rsid w:val="00783B23"/>
    <w:rsid w:val="007909A9"/>
    <w:rsid w:val="007A2DFF"/>
    <w:rsid w:val="007A2FEA"/>
    <w:rsid w:val="007A65DE"/>
    <w:rsid w:val="007B34F6"/>
    <w:rsid w:val="007B3E12"/>
    <w:rsid w:val="007C0174"/>
    <w:rsid w:val="007D1C84"/>
    <w:rsid w:val="007D4D27"/>
    <w:rsid w:val="007E063E"/>
    <w:rsid w:val="007E7012"/>
    <w:rsid w:val="007F10AB"/>
    <w:rsid w:val="00801DFC"/>
    <w:rsid w:val="008115A9"/>
    <w:rsid w:val="00814FD6"/>
    <w:rsid w:val="008214D6"/>
    <w:rsid w:val="00821B6F"/>
    <w:rsid w:val="00834CEA"/>
    <w:rsid w:val="00842EF0"/>
    <w:rsid w:val="00844635"/>
    <w:rsid w:val="00845272"/>
    <w:rsid w:val="00853AAB"/>
    <w:rsid w:val="00885DD4"/>
    <w:rsid w:val="008A2C6B"/>
    <w:rsid w:val="008B1B40"/>
    <w:rsid w:val="008B4076"/>
    <w:rsid w:val="008C0737"/>
    <w:rsid w:val="008C0790"/>
    <w:rsid w:val="008D03AD"/>
    <w:rsid w:val="008F2112"/>
    <w:rsid w:val="0090178B"/>
    <w:rsid w:val="0091583D"/>
    <w:rsid w:val="00926284"/>
    <w:rsid w:val="009440AF"/>
    <w:rsid w:val="00970577"/>
    <w:rsid w:val="009718C3"/>
    <w:rsid w:val="009727B2"/>
    <w:rsid w:val="00976EA1"/>
    <w:rsid w:val="00984912"/>
    <w:rsid w:val="00984CF6"/>
    <w:rsid w:val="00987675"/>
    <w:rsid w:val="009A46FD"/>
    <w:rsid w:val="009C6E3E"/>
    <w:rsid w:val="009D1362"/>
    <w:rsid w:val="009D5C44"/>
    <w:rsid w:val="009E53AB"/>
    <w:rsid w:val="009F47D8"/>
    <w:rsid w:val="009F611F"/>
    <w:rsid w:val="00A13E6B"/>
    <w:rsid w:val="00A32950"/>
    <w:rsid w:val="00A351D7"/>
    <w:rsid w:val="00A44844"/>
    <w:rsid w:val="00A463CE"/>
    <w:rsid w:val="00A603B0"/>
    <w:rsid w:val="00A6152E"/>
    <w:rsid w:val="00A619CD"/>
    <w:rsid w:val="00A85FCC"/>
    <w:rsid w:val="00A9415F"/>
    <w:rsid w:val="00AB388C"/>
    <w:rsid w:val="00AB39E6"/>
    <w:rsid w:val="00AF7FAE"/>
    <w:rsid w:val="00B07E57"/>
    <w:rsid w:val="00B25096"/>
    <w:rsid w:val="00B2585B"/>
    <w:rsid w:val="00B32A68"/>
    <w:rsid w:val="00B54BD2"/>
    <w:rsid w:val="00B620D7"/>
    <w:rsid w:val="00B62347"/>
    <w:rsid w:val="00B72F60"/>
    <w:rsid w:val="00B74621"/>
    <w:rsid w:val="00B8078B"/>
    <w:rsid w:val="00B8581C"/>
    <w:rsid w:val="00BC1E7E"/>
    <w:rsid w:val="00BC61BB"/>
    <w:rsid w:val="00C131C1"/>
    <w:rsid w:val="00C22AC7"/>
    <w:rsid w:val="00C35ED9"/>
    <w:rsid w:val="00C369B1"/>
    <w:rsid w:val="00C41DDC"/>
    <w:rsid w:val="00C85F1A"/>
    <w:rsid w:val="00C875FC"/>
    <w:rsid w:val="00C95844"/>
    <w:rsid w:val="00CA0B15"/>
    <w:rsid w:val="00CA5F49"/>
    <w:rsid w:val="00CB50F0"/>
    <w:rsid w:val="00CB5A51"/>
    <w:rsid w:val="00CD5CAA"/>
    <w:rsid w:val="00CD6400"/>
    <w:rsid w:val="00CE06BB"/>
    <w:rsid w:val="00D03C1B"/>
    <w:rsid w:val="00D04A2B"/>
    <w:rsid w:val="00D141DD"/>
    <w:rsid w:val="00D30145"/>
    <w:rsid w:val="00D303E8"/>
    <w:rsid w:val="00D57DBB"/>
    <w:rsid w:val="00D621D0"/>
    <w:rsid w:val="00D8618B"/>
    <w:rsid w:val="00D946E8"/>
    <w:rsid w:val="00DD0A49"/>
    <w:rsid w:val="00DD4A83"/>
    <w:rsid w:val="00DF4E91"/>
    <w:rsid w:val="00E13A00"/>
    <w:rsid w:val="00E21820"/>
    <w:rsid w:val="00E2541E"/>
    <w:rsid w:val="00E3730E"/>
    <w:rsid w:val="00E648DA"/>
    <w:rsid w:val="00E9345F"/>
    <w:rsid w:val="00EA5297"/>
    <w:rsid w:val="00EA7D59"/>
    <w:rsid w:val="00EB4CA6"/>
    <w:rsid w:val="00EB6D15"/>
    <w:rsid w:val="00EC6C75"/>
    <w:rsid w:val="00ED670A"/>
    <w:rsid w:val="00EF600D"/>
    <w:rsid w:val="00F01DF8"/>
    <w:rsid w:val="00F01E85"/>
    <w:rsid w:val="00F0327C"/>
    <w:rsid w:val="00F04A22"/>
    <w:rsid w:val="00F13C0B"/>
    <w:rsid w:val="00F25A22"/>
    <w:rsid w:val="00F36040"/>
    <w:rsid w:val="00F62C3E"/>
    <w:rsid w:val="00F741F1"/>
    <w:rsid w:val="00F7432F"/>
    <w:rsid w:val="00F77055"/>
    <w:rsid w:val="00F82F0D"/>
    <w:rsid w:val="00F96E05"/>
    <w:rsid w:val="00FD398E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36"/>
        <o:r id="V:Rule4" type="connector" idref="#_x0000_s1030"/>
        <o:r id="V:Rule5" type="connector" idref="#_x0000_s1029"/>
        <o:r id="V:Rule6" type="connector" idref="#_x0000_s1034"/>
        <o:r id="V:Rule7" type="connector" idref="#_x0000_s1038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霍振扬</dc:creator>
  <cp:lastModifiedBy>霍振扬</cp:lastModifiedBy>
  <cp:revision>4</cp:revision>
  <dcterms:created xsi:type="dcterms:W3CDTF">2015-07-02T03:02:00Z</dcterms:created>
  <dcterms:modified xsi:type="dcterms:W3CDTF">2015-07-02T03:03:00Z</dcterms:modified>
</cp:coreProperties>
</file>